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4B" w:rsidRPr="00976D4B" w:rsidRDefault="00397850" w:rsidP="00976D4B">
      <w:pPr>
        <w:jc w:val="center"/>
        <w:rPr>
          <w:rFonts w:ascii="Palatino Linotype" w:hAnsi="Palatino Linotype"/>
          <w:b/>
          <w:sz w:val="28"/>
          <w:szCs w:val="28"/>
        </w:rPr>
      </w:pPr>
      <w:r w:rsidRPr="00976D4B">
        <w:rPr>
          <w:rFonts w:ascii="Palatino Linotype" w:hAnsi="Palatino Linotype"/>
          <w:b/>
          <w:sz w:val="28"/>
          <w:szCs w:val="28"/>
        </w:rPr>
        <w:t>P</w:t>
      </w:r>
      <w:r w:rsidR="00AB0B63" w:rsidRPr="00976D4B">
        <w:rPr>
          <w:rFonts w:ascii="Palatino Linotype" w:hAnsi="Palatino Linotype"/>
          <w:b/>
          <w:sz w:val="28"/>
          <w:szCs w:val="28"/>
        </w:rPr>
        <w:t xml:space="preserve">lease join the PBA In-House Counsel Committee </w:t>
      </w:r>
      <w:r w:rsidR="00976D4B" w:rsidRPr="00976D4B">
        <w:rPr>
          <w:rFonts w:ascii="Palatino Linotype" w:hAnsi="Palatino Linotype"/>
          <w:b/>
          <w:sz w:val="28"/>
          <w:szCs w:val="28"/>
        </w:rPr>
        <w:t>at</w:t>
      </w:r>
      <w:r w:rsidR="00AB0B63" w:rsidRPr="00976D4B">
        <w:rPr>
          <w:rFonts w:ascii="Palatino Linotype" w:hAnsi="Palatino Linotype"/>
          <w:b/>
          <w:sz w:val="28"/>
          <w:szCs w:val="28"/>
        </w:rPr>
        <w:t xml:space="preserve"> i</w:t>
      </w:r>
      <w:r w:rsidR="00976D4B" w:rsidRPr="00976D4B">
        <w:rPr>
          <w:rFonts w:ascii="Palatino Linotype" w:hAnsi="Palatino Linotype"/>
          <w:b/>
          <w:sz w:val="28"/>
          <w:szCs w:val="28"/>
        </w:rPr>
        <w:t>ts</w:t>
      </w:r>
    </w:p>
    <w:p w:rsidR="00AB0B63" w:rsidRDefault="00397850" w:rsidP="00976D4B">
      <w:pPr>
        <w:jc w:val="center"/>
        <w:rPr>
          <w:rFonts w:ascii="Palatino Linotype" w:hAnsi="Palatino Linotype"/>
          <w:b/>
          <w:sz w:val="28"/>
          <w:szCs w:val="28"/>
        </w:rPr>
      </w:pPr>
      <w:r w:rsidRPr="00976D4B">
        <w:rPr>
          <w:rFonts w:ascii="Palatino Linotype" w:hAnsi="Palatino Linotype"/>
          <w:b/>
          <w:sz w:val="28"/>
          <w:szCs w:val="28"/>
        </w:rPr>
        <w:t xml:space="preserve">Central </w:t>
      </w:r>
      <w:r w:rsidR="00976D4B">
        <w:rPr>
          <w:rFonts w:ascii="Palatino Linotype" w:hAnsi="Palatino Linotype"/>
          <w:b/>
          <w:sz w:val="28"/>
          <w:szCs w:val="28"/>
        </w:rPr>
        <w:t xml:space="preserve">PA </w:t>
      </w:r>
      <w:r w:rsidRPr="00976D4B">
        <w:rPr>
          <w:rFonts w:ascii="Palatino Linotype" w:hAnsi="Palatino Linotype"/>
          <w:b/>
          <w:sz w:val="28"/>
          <w:szCs w:val="28"/>
        </w:rPr>
        <w:t>Regional Meeting</w:t>
      </w:r>
      <w:r w:rsidR="00976D4B">
        <w:rPr>
          <w:rFonts w:ascii="Palatino Linotype" w:hAnsi="Palatino Linotype"/>
          <w:b/>
          <w:sz w:val="28"/>
          <w:szCs w:val="28"/>
        </w:rPr>
        <w:t>,</w:t>
      </w:r>
      <w:r w:rsidRPr="00976D4B">
        <w:rPr>
          <w:rFonts w:ascii="Palatino Linotype" w:hAnsi="Palatino Linotype"/>
          <w:b/>
          <w:sz w:val="28"/>
          <w:szCs w:val="28"/>
        </w:rPr>
        <w:t xml:space="preserve"> </w:t>
      </w:r>
      <w:r w:rsidR="00AB0B63" w:rsidRPr="00976D4B">
        <w:rPr>
          <w:rFonts w:ascii="Palatino Linotype" w:hAnsi="Palatino Linotype"/>
          <w:b/>
          <w:sz w:val="28"/>
          <w:szCs w:val="28"/>
        </w:rPr>
        <w:t xml:space="preserve">CLE </w:t>
      </w:r>
      <w:r w:rsidR="005F3FD6">
        <w:rPr>
          <w:rFonts w:ascii="Palatino Linotype" w:hAnsi="Palatino Linotype"/>
          <w:b/>
          <w:sz w:val="28"/>
          <w:szCs w:val="28"/>
        </w:rPr>
        <w:t>P</w:t>
      </w:r>
      <w:r w:rsidR="00AB0B63" w:rsidRPr="00976D4B">
        <w:rPr>
          <w:rFonts w:ascii="Palatino Linotype" w:hAnsi="Palatino Linotype"/>
          <w:b/>
          <w:sz w:val="28"/>
          <w:szCs w:val="28"/>
        </w:rPr>
        <w:t>resentation</w:t>
      </w:r>
      <w:r w:rsidRPr="00976D4B">
        <w:rPr>
          <w:rFonts w:ascii="Palatino Linotype" w:hAnsi="Palatino Linotype"/>
          <w:b/>
          <w:sz w:val="28"/>
          <w:szCs w:val="28"/>
        </w:rPr>
        <w:t xml:space="preserve"> </w:t>
      </w:r>
      <w:r w:rsidR="00976D4B" w:rsidRPr="00976D4B">
        <w:rPr>
          <w:rFonts w:ascii="Palatino Linotype" w:hAnsi="Palatino Linotype"/>
          <w:b/>
          <w:sz w:val="28"/>
          <w:szCs w:val="28"/>
        </w:rPr>
        <w:t>&amp;</w:t>
      </w:r>
      <w:r w:rsidRPr="00976D4B">
        <w:rPr>
          <w:rFonts w:ascii="Palatino Linotype" w:hAnsi="Palatino Linotype"/>
          <w:b/>
          <w:sz w:val="28"/>
          <w:szCs w:val="28"/>
        </w:rPr>
        <w:t xml:space="preserve"> </w:t>
      </w:r>
      <w:r w:rsidR="005F3FD6">
        <w:rPr>
          <w:rFonts w:ascii="Palatino Linotype" w:hAnsi="Palatino Linotype"/>
          <w:b/>
          <w:sz w:val="28"/>
          <w:szCs w:val="28"/>
        </w:rPr>
        <w:t>L</w:t>
      </w:r>
      <w:r w:rsidRPr="00976D4B">
        <w:rPr>
          <w:rFonts w:ascii="Palatino Linotype" w:hAnsi="Palatino Linotype"/>
          <w:b/>
          <w:sz w:val="28"/>
          <w:szCs w:val="28"/>
        </w:rPr>
        <w:t xml:space="preserve">ight </w:t>
      </w:r>
      <w:r w:rsidR="005F3FD6">
        <w:rPr>
          <w:rFonts w:ascii="Palatino Linotype" w:hAnsi="Palatino Linotype"/>
          <w:b/>
          <w:sz w:val="28"/>
          <w:szCs w:val="28"/>
        </w:rPr>
        <w:t>R</w:t>
      </w:r>
      <w:r w:rsidRPr="00976D4B">
        <w:rPr>
          <w:rFonts w:ascii="Palatino Linotype" w:hAnsi="Palatino Linotype"/>
          <w:b/>
          <w:sz w:val="28"/>
          <w:szCs w:val="28"/>
        </w:rPr>
        <w:t>eception</w:t>
      </w:r>
    </w:p>
    <w:p w:rsidR="00976D4B" w:rsidRDefault="00976D4B" w:rsidP="00976D4B">
      <w:pPr>
        <w:jc w:val="center"/>
        <w:rPr>
          <w:rFonts w:ascii="Palatino Linotype" w:hAnsi="Palatino Linotype"/>
          <w:b/>
          <w:sz w:val="28"/>
          <w:szCs w:val="28"/>
        </w:rPr>
      </w:pPr>
    </w:p>
    <w:p w:rsidR="00976D4B" w:rsidRPr="00976D4B" w:rsidRDefault="00976D4B" w:rsidP="00976D4B">
      <w:pPr>
        <w:jc w:val="center"/>
        <w:rPr>
          <w:rFonts w:ascii="Palatino Linotype" w:hAnsi="Palatino Linotype"/>
          <w:b/>
          <w:sz w:val="24"/>
          <w:szCs w:val="24"/>
        </w:rPr>
      </w:pPr>
      <w:r w:rsidRPr="00976D4B">
        <w:rPr>
          <w:rFonts w:ascii="Palatino Linotype" w:hAnsi="Palatino Linotype"/>
          <w:b/>
          <w:sz w:val="24"/>
          <w:szCs w:val="24"/>
        </w:rPr>
        <w:t>Dauphin County Bar Association</w:t>
      </w:r>
    </w:p>
    <w:p w:rsidR="00976D4B" w:rsidRPr="00976D4B" w:rsidRDefault="00976D4B" w:rsidP="00976D4B">
      <w:pPr>
        <w:jc w:val="center"/>
        <w:rPr>
          <w:rFonts w:ascii="Palatino Linotype" w:hAnsi="Palatino Linotype"/>
          <w:b/>
          <w:sz w:val="24"/>
          <w:szCs w:val="24"/>
        </w:rPr>
      </w:pPr>
      <w:r w:rsidRPr="00976D4B">
        <w:rPr>
          <w:rFonts w:ascii="Palatino Linotype" w:hAnsi="Palatino Linotype"/>
          <w:b/>
          <w:sz w:val="24"/>
          <w:szCs w:val="24"/>
        </w:rPr>
        <w:t>213 North Front Street, Harrisburg PA</w:t>
      </w:r>
    </w:p>
    <w:p w:rsidR="00976D4B" w:rsidRPr="00976D4B" w:rsidRDefault="00976D4B" w:rsidP="00976D4B">
      <w:pPr>
        <w:jc w:val="center"/>
        <w:rPr>
          <w:rFonts w:ascii="Palatino Linotype" w:hAnsi="Palatino Linotype"/>
          <w:b/>
          <w:sz w:val="28"/>
          <w:szCs w:val="28"/>
        </w:rPr>
      </w:pPr>
      <w:r w:rsidRPr="00976D4B">
        <w:rPr>
          <w:rFonts w:ascii="Palatino Linotype" w:hAnsi="Palatino Linotype"/>
          <w:b/>
          <w:sz w:val="24"/>
          <w:szCs w:val="24"/>
        </w:rPr>
        <w:t>February 28, 2013</w:t>
      </w:r>
      <w:r w:rsidR="005F3FD6">
        <w:rPr>
          <w:rFonts w:ascii="Palatino Linotype" w:hAnsi="Palatino Linotype"/>
          <w:b/>
          <w:sz w:val="24"/>
          <w:szCs w:val="24"/>
        </w:rPr>
        <w:t xml:space="preserve"> – 2:00 - 5:00 p.m.</w:t>
      </w:r>
    </w:p>
    <w:p w:rsidR="002678BD" w:rsidRDefault="002678BD">
      <w:pPr>
        <w:rPr>
          <w:rFonts w:ascii="Palatino Linotype" w:hAnsi="Palatino Linotype"/>
          <w:sz w:val="28"/>
          <w:szCs w:val="28"/>
        </w:rPr>
      </w:pPr>
    </w:p>
    <w:p w:rsidR="00AB0B63" w:rsidRDefault="00AB0B63"/>
    <w:p w:rsidR="00AB0B63" w:rsidRDefault="00AB0B63" w:rsidP="00AB0B63">
      <w:pPr>
        <w:pStyle w:val="PlainText"/>
      </w:pPr>
      <w:r>
        <w:t>2</w:t>
      </w:r>
      <w:r w:rsidR="00397850">
        <w:t xml:space="preserve">:00 </w:t>
      </w:r>
      <w:r>
        <w:t>-3</w:t>
      </w:r>
      <w:r w:rsidR="00397850">
        <w:t>:00</w:t>
      </w:r>
      <w:r>
        <w:t xml:space="preserve"> p</w:t>
      </w:r>
      <w:r w:rsidR="00397850">
        <w:t>.</w:t>
      </w:r>
      <w:r>
        <w:t>m</w:t>
      </w:r>
      <w:r w:rsidR="00397850">
        <w:t>.</w:t>
      </w:r>
    </w:p>
    <w:p w:rsidR="00AB0B63" w:rsidRDefault="00AB0B63" w:rsidP="00AB0B63">
      <w:pPr>
        <w:pStyle w:val="PlainText"/>
      </w:pPr>
      <w:r>
        <w:t>The Attorney/Corporate Client Privilege and the Internal Investigation:  A Panel Discussion [1 ethics credit]</w:t>
      </w:r>
    </w:p>
    <w:p w:rsidR="00AB0B63" w:rsidRDefault="00AB0B63" w:rsidP="00AB0B63">
      <w:pPr>
        <w:pStyle w:val="PlainText"/>
      </w:pPr>
    </w:p>
    <w:p w:rsidR="00AB0B63" w:rsidRDefault="00AB0B63" w:rsidP="00AB0B63">
      <w:pPr>
        <w:pStyle w:val="PlainText"/>
      </w:pPr>
      <w:r>
        <w:t>This one hour presentation will review the legal and ethical framework of the attorney/corporate-client privilege in the context of internally investigating corporate malfeasance.  Our panel participants will include lawyers representing both companies and government regulatory agencies, each of whom will offer unique perspectives and thoughtful discussion on this important area of law.</w:t>
      </w:r>
    </w:p>
    <w:p w:rsidR="002678BD" w:rsidRDefault="002678BD" w:rsidP="00AB0B63">
      <w:pPr>
        <w:pStyle w:val="PlainText"/>
        <w:rPr>
          <w:i/>
        </w:rPr>
      </w:pPr>
      <w:r>
        <w:rPr>
          <w:i/>
        </w:rPr>
        <w:t xml:space="preserve">Panelists:  </w:t>
      </w:r>
    </w:p>
    <w:p w:rsidR="002678BD" w:rsidRDefault="002678BD" w:rsidP="002678BD">
      <w:pPr>
        <w:pStyle w:val="PlainText"/>
        <w:ind w:firstLine="720"/>
        <w:rPr>
          <w:i/>
        </w:rPr>
      </w:pPr>
      <w:r>
        <w:rPr>
          <w:i/>
        </w:rPr>
        <w:t xml:space="preserve">Jeffrey D. Grossman, Esq., </w:t>
      </w:r>
      <w:proofErr w:type="spellStart"/>
      <w:r w:rsidR="00976D4B" w:rsidRPr="00976D4B">
        <w:rPr>
          <w:i/>
        </w:rPr>
        <w:t>Stradley</w:t>
      </w:r>
      <w:proofErr w:type="spellEnd"/>
      <w:r w:rsidR="00976D4B" w:rsidRPr="00976D4B">
        <w:rPr>
          <w:i/>
        </w:rPr>
        <w:t xml:space="preserve"> </w:t>
      </w:r>
      <w:proofErr w:type="spellStart"/>
      <w:r w:rsidR="00976D4B" w:rsidRPr="00976D4B">
        <w:rPr>
          <w:i/>
        </w:rPr>
        <w:t>Ronon</w:t>
      </w:r>
      <w:proofErr w:type="spellEnd"/>
      <w:r w:rsidR="00976D4B" w:rsidRPr="00976D4B">
        <w:rPr>
          <w:i/>
        </w:rPr>
        <w:t xml:space="preserve"> Stevens &amp; Young LLP</w:t>
      </w:r>
    </w:p>
    <w:p w:rsidR="002678BD" w:rsidRDefault="002678BD" w:rsidP="002678BD">
      <w:pPr>
        <w:pStyle w:val="PlainText"/>
        <w:ind w:firstLine="720"/>
        <w:rPr>
          <w:i/>
        </w:rPr>
      </w:pPr>
      <w:r>
        <w:rPr>
          <w:i/>
        </w:rPr>
        <w:t xml:space="preserve">Paula D. Shaffner, Esq., </w:t>
      </w:r>
      <w:proofErr w:type="spellStart"/>
      <w:r w:rsidR="00976D4B" w:rsidRPr="00976D4B">
        <w:rPr>
          <w:i/>
        </w:rPr>
        <w:t>Stradley</w:t>
      </w:r>
      <w:proofErr w:type="spellEnd"/>
      <w:r w:rsidR="00976D4B" w:rsidRPr="00976D4B">
        <w:rPr>
          <w:i/>
        </w:rPr>
        <w:t xml:space="preserve"> </w:t>
      </w:r>
      <w:proofErr w:type="spellStart"/>
      <w:r w:rsidR="00976D4B" w:rsidRPr="00976D4B">
        <w:rPr>
          <w:i/>
        </w:rPr>
        <w:t>Ronon</w:t>
      </w:r>
      <w:proofErr w:type="spellEnd"/>
      <w:r w:rsidR="00976D4B" w:rsidRPr="00976D4B">
        <w:rPr>
          <w:i/>
        </w:rPr>
        <w:t xml:space="preserve"> Stevens &amp; Young LLP</w:t>
      </w:r>
    </w:p>
    <w:p w:rsidR="002678BD" w:rsidRDefault="002678BD" w:rsidP="002678BD">
      <w:pPr>
        <w:pStyle w:val="PlainText"/>
        <w:ind w:firstLine="720"/>
        <w:rPr>
          <w:i/>
        </w:rPr>
      </w:pPr>
      <w:r>
        <w:rPr>
          <w:i/>
        </w:rPr>
        <w:t xml:space="preserve">Carter D. Frantz, Esq., </w:t>
      </w:r>
      <w:r w:rsidR="00976D4B">
        <w:rPr>
          <w:i/>
        </w:rPr>
        <w:t xml:space="preserve">PA </w:t>
      </w:r>
      <w:proofErr w:type="spellStart"/>
      <w:r w:rsidR="00976D4B">
        <w:rPr>
          <w:i/>
        </w:rPr>
        <w:t>Dept</w:t>
      </w:r>
      <w:proofErr w:type="spellEnd"/>
      <w:r w:rsidR="00976D4B">
        <w:rPr>
          <w:i/>
        </w:rPr>
        <w:t xml:space="preserve"> of Banking &amp; Securities</w:t>
      </w:r>
    </w:p>
    <w:p w:rsidR="002678BD" w:rsidRPr="002678BD" w:rsidRDefault="002678BD" w:rsidP="002678BD">
      <w:pPr>
        <w:pStyle w:val="PlainText"/>
        <w:ind w:firstLine="720"/>
        <w:rPr>
          <w:i/>
        </w:rPr>
      </w:pPr>
      <w:r>
        <w:rPr>
          <w:i/>
        </w:rPr>
        <w:t>Glenn A. Yeager, Esq.</w:t>
      </w:r>
      <w:r w:rsidR="00976D4B">
        <w:rPr>
          <w:i/>
        </w:rPr>
        <w:t>, Customers Bank</w:t>
      </w:r>
    </w:p>
    <w:p w:rsidR="00AB0B63" w:rsidRDefault="00AB0B63" w:rsidP="00AB0B63">
      <w:pPr>
        <w:pStyle w:val="PlainText"/>
      </w:pPr>
      <w:r>
        <w:t xml:space="preserve">     </w:t>
      </w:r>
    </w:p>
    <w:p w:rsidR="00976D4B" w:rsidRDefault="00976D4B" w:rsidP="00AB0B63">
      <w:pPr>
        <w:pStyle w:val="PlainText"/>
      </w:pPr>
    </w:p>
    <w:p w:rsidR="00AB0B63" w:rsidRDefault="00AB0B63" w:rsidP="00AB0B63">
      <w:pPr>
        <w:pStyle w:val="PlainText"/>
      </w:pPr>
      <w:r>
        <w:t>3</w:t>
      </w:r>
      <w:r w:rsidR="00397850">
        <w:t xml:space="preserve">:00 </w:t>
      </w:r>
      <w:r>
        <w:t>-4</w:t>
      </w:r>
      <w:r w:rsidR="00397850">
        <w:t>:00</w:t>
      </w:r>
      <w:r>
        <w:t xml:space="preserve"> p</w:t>
      </w:r>
      <w:r w:rsidR="00397850">
        <w:t>.</w:t>
      </w:r>
      <w:r>
        <w:t>m</w:t>
      </w:r>
      <w:r w:rsidR="00397850">
        <w:t>.</w:t>
      </w:r>
    </w:p>
    <w:p w:rsidR="00397850" w:rsidRDefault="00397850" w:rsidP="00397850">
      <w:pPr>
        <w:rPr>
          <w:rFonts w:ascii="Palatino Linotype" w:hAnsi="Palatino Linotype"/>
          <w:color w:val="000000" w:themeColor="text1"/>
          <w:sz w:val="24"/>
          <w:szCs w:val="24"/>
        </w:rPr>
      </w:pPr>
      <w:r w:rsidRPr="00397850">
        <w:rPr>
          <w:rFonts w:ascii="Palatino Linotype" w:hAnsi="Palatino Linotype"/>
          <w:color w:val="000000" w:themeColor="text1"/>
          <w:sz w:val="24"/>
          <w:szCs w:val="24"/>
        </w:rPr>
        <w:t>ADR and Mediation</w:t>
      </w:r>
      <w:r>
        <w:rPr>
          <w:rFonts w:ascii="Palatino Linotype" w:hAnsi="Palatino Linotype"/>
          <w:color w:val="000000" w:themeColor="text1"/>
          <w:sz w:val="24"/>
          <w:szCs w:val="24"/>
        </w:rPr>
        <w:t>:  A Panel Discussion</w:t>
      </w:r>
      <w:r w:rsidR="00AB0B63" w:rsidRPr="00397850">
        <w:rPr>
          <w:rFonts w:ascii="Palatino Linotype" w:hAnsi="Palatino Linotype"/>
          <w:color w:val="000000" w:themeColor="text1"/>
          <w:sz w:val="24"/>
          <w:szCs w:val="24"/>
        </w:rPr>
        <w:t xml:space="preserve"> [1 substantive credit] </w:t>
      </w:r>
    </w:p>
    <w:p w:rsidR="00397850" w:rsidRDefault="00397850" w:rsidP="00397850">
      <w:pPr>
        <w:rPr>
          <w:rFonts w:ascii="Palatino Linotype" w:hAnsi="Palatino Linotype"/>
          <w:color w:val="000000" w:themeColor="text1"/>
          <w:sz w:val="24"/>
          <w:szCs w:val="24"/>
        </w:rPr>
      </w:pPr>
    </w:p>
    <w:p w:rsidR="00397850" w:rsidRDefault="00AB0B63" w:rsidP="00397850">
      <w:pPr>
        <w:rPr>
          <w:rFonts w:ascii="Palatino Linotype" w:hAnsi="Palatino Linotype"/>
          <w:bCs/>
          <w:color w:val="000000" w:themeColor="text1"/>
          <w:sz w:val="24"/>
          <w:szCs w:val="24"/>
        </w:rPr>
      </w:pPr>
      <w:r w:rsidRPr="00397850">
        <w:rPr>
          <w:rFonts w:ascii="Palatino Linotype" w:hAnsi="Palatino Linotype"/>
          <w:color w:val="000000" w:themeColor="text1"/>
          <w:sz w:val="24"/>
          <w:szCs w:val="24"/>
        </w:rPr>
        <w:t xml:space="preserve">This second hour </w:t>
      </w:r>
      <w:r w:rsidR="00397850" w:rsidRPr="00397850">
        <w:rPr>
          <w:rFonts w:ascii="Palatino Linotype" w:hAnsi="Palatino Linotype"/>
          <w:bCs/>
          <w:color w:val="000000" w:themeColor="text1"/>
          <w:sz w:val="24"/>
          <w:szCs w:val="24"/>
        </w:rPr>
        <w:t>will review best mediation practices and will provide the perspectives of advocate, mediator, and in-house client.  Factors affecting case selection, mediator choice, timing, preparation, and case presentation will be addressed in this informative hour.</w:t>
      </w:r>
    </w:p>
    <w:p w:rsidR="00976D4B" w:rsidRDefault="002678BD" w:rsidP="00397850">
      <w:pPr>
        <w:rPr>
          <w:rFonts w:ascii="Palatino Linotype" w:hAnsi="Palatino Linotype"/>
          <w:bCs/>
          <w:i/>
          <w:color w:val="000000" w:themeColor="text1"/>
          <w:sz w:val="24"/>
          <w:szCs w:val="24"/>
        </w:rPr>
      </w:pPr>
      <w:r>
        <w:rPr>
          <w:rFonts w:ascii="Palatino Linotype" w:hAnsi="Palatino Linotype"/>
          <w:bCs/>
          <w:i/>
          <w:color w:val="000000" w:themeColor="text1"/>
          <w:sz w:val="24"/>
          <w:szCs w:val="24"/>
        </w:rPr>
        <w:t xml:space="preserve">Panelists:  </w:t>
      </w:r>
    </w:p>
    <w:p w:rsidR="00976D4B" w:rsidRDefault="002678BD" w:rsidP="00976D4B">
      <w:pPr>
        <w:ind w:firstLine="720"/>
        <w:rPr>
          <w:rFonts w:ascii="Palatino Linotype" w:hAnsi="Palatino Linotype"/>
          <w:bCs/>
          <w:i/>
          <w:color w:val="000000" w:themeColor="text1"/>
          <w:sz w:val="24"/>
          <w:szCs w:val="24"/>
        </w:rPr>
      </w:pPr>
      <w:r>
        <w:rPr>
          <w:rFonts w:ascii="Palatino Linotype" w:hAnsi="Palatino Linotype"/>
          <w:bCs/>
          <w:i/>
          <w:color w:val="000000" w:themeColor="text1"/>
          <w:sz w:val="24"/>
          <w:szCs w:val="24"/>
        </w:rPr>
        <w:t xml:space="preserve">Albert C. Peters II, Esq., </w:t>
      </w:r>
      <w:r w:rsidR="00976D4B">
        <w:rPr>
          <w:rFonts w:ascii="Palatino Linotype" w:hAnsi="Palatino Linotype"/>
          <w:bCs/>
          <w:i/>
          <w:color w:val="000000" w:themeColor="text1"/>
          <w:sz w:val="24"/>
          <w:szCs w:val="24"/>
        </w:rPr>
        <w:t>PA Turnpike Commission</w:t>
      </w:r>
    </w:p>
    <w:p w:rsidR="00976D4B" w:rsidRDefault="00976D4B" w:rsidP="00976D4B">
      <w:pPr>
        <w:ind w:left="720"/>
        <w:rPr>
          <w:rFonts w:ascii="Palatino Linotype" w:hAnsi="Palatino Linotype"/>
          <w:bCs/>
          <w:i/>
          <w:color w:val="000000" w:themeColor="text1"/>
          <w:sz w:val="24"/>
          <w:szCs w:val="24"/>
        </w:rPr>
      </w:pPr>
      <w:r>
        <w:rPr>
          <w:rFonts w:ascii="Palatino Linotype" w:hAnsi="Palatino Linotype"/>
          <w:bCs/>
          <w:i/>
          <w:color w:val="000000" w:themeColor="text1"/>
          <w:sz w:val="24"/>
          <w:szCs w:val="24"/>
        </w:rPr>
        <w:t xml:space="preserve">David </w:t>
      </w:r>
      <w:r w:rsidR="000667E0">
        <w:rPr>
          <w:rFonts w:ascii="Palatino Linotype" w:hAnsi="Palatino Linotype"/>
          <w:bCs/>
          <w:i/>
          <w:color w:val="000000" w:themeColor="text1"/>
          <w:sz w:val="24"/>
          <w:szCs w:val="24"/>
        </w:rPr>
        <w:t xml:space="preserve">E. </w:t>
      </w:r>
      <w:bookmarkStart w:id="0" w:name="_GoBack"/>
      <w:bookmarkEnd w:id="0"/>
      <w:r>
        <w:rPr>
          <w:rFonts w:ascii="Palatino Linotype" w:hAnsi="Palatino Linotype"/>
          <w:bCs/>
          <w:i/>
          <w:color w:val="000000" w:themeColor="text1"/>
          <w:sz w:val="24"/>
          <w:szCs w:val="24"/>
        </w:rPr>
        <w:t>Lehman, Esq., Lehman Mediation Service LLC</w:t>
      </w:r>
    </w:p>
    <w:p w:rsidR="002678BD" w:rsidRPr="002678BD" w:rsidRDefault="002678BD" w:rsidP="00976D4B">
      <w:pPr>
        <w:ind w:left="720"/>
        <w:rPr>
          <w:rFonts w:ascii="Palatino Linotype" w:hAnsi="Palatino Linotype"/>
          <w:bCs/>
          <w:i/>
          <w:color w:val="000000" w:themeColor="text1"/>
          <w:sz w:val="24"/>
          <w:szCs w:val="24"/>
        </w:rPr>
      </w:pPr>
      <w:r>
        <w:rPr>
          <w:rFonts w:ascii="Palatino Linotype" w:hAnsi="Palatino Linotype"/>
          <w:bCs/>
          <w:i/>
          <w:color w:val="000000" w:themeColor="text1"/>
          <w:sz w:val="24"/>
          <w:szCs w:val="24"/>
        </w:rPr>
        <w:t>Michael W. Winfield, Esq.</w:t>
      </w:r>
      <w:r w:rsidR="00976D4B">
        <w:rPr>
          <w:rFonts w:ascii="Palatino Linotype" w:hAnsi="Palatino Linotype"/>
          <w:bCs/>
          <w:i/>
          <w:color w:val="000000" w:themeColor="text1"/>
          <w:sz w:val="24"/>
          <w:szCs w:val="24"/>
        </w:rPr>
        <w:t xml:space="preserve">, Rhoads &amp; </w:t>
      </w:r>
      <w:proofErr w:type="spellStart"/>
      <w:r w:rsidR="00976D4B">
        <w:rPr>
          <w:rFonts w:ascii="Palatino Linotype" w:hAnsi="Palatino Linotype"/>
          <w:bCs/>
          <w:i/>
          <w:color w:val="000000" w:themeColor="text1"/>
          <w:sz w:val="24"/>
          <w:szCs w:val="24"/>
        </w:rPr>
        <w:t>Sinon</w:t>
      </w:r>
      <w:proofErr w:type="spellEnd"/>
      <w:r w:rsidR="00976D4B">
        <w:rPr>
          <w:rFonts w:ascii="Palatino Linotype" w:hAnsi="Palatino Linotype"/>
          <w:bCs/>
          <w:i/>
          <w:color w:val="000000" w:themeColor="text1"/>
          <w:sz w:val="24"/>
          <w:szCs w:val="24"/>
        </w:rPr>
        <w:t xml:space="preserve"> LLP</w:t>
      </w:r>
    </w:p>
    <w:p w:rsidR="00AB0B63" w:rsidRDefault="00AB0B63" w:rsidP="00AB0B63">
      <w:pPr>
        <w:pStyle w:val="PlainText"/>
      </w:pPr>
    </w:p>
    <w:p w:rsidR="00976D4B" w:rsidRDefault="00976D4B" w:rsidP="00AB0B63">
      <w:pPr>
        <w:pStyle w:val="PlainText"/>
      </w:pPr>
    </w:p>
    <w:p w:rsidR="00397850" w:rsidRDefault="00397850" w:rsidP="00AB0B63">
      <w:pPr>
        <w:pStyle w:val="PlainText"/>
      </w:pPr>
      <w:r>
        <w:t>4:00 - 5:00 p.m.</w:t>
      </w:r>
    </w:p>
    <w:p w:rsidR="00AB0B63" w:rsidRDefault="00397850" w:rsidP="00976D4B">
      <w:pPr>
        <w:pStyle w:val="PlainText"/>
        <w:rPr>
          <w:i/>
        </w:rPr>
      </w:pPr>
      <w:r>
        <w:t xml:space="preserve">Light </w:t>
      </w:r>
      <w:r w:rsidR="00AB0B63">
        <w:t xml:space="preserve">Reception </w:t>
      </w:r>
      <w:r>
        <w:rPr>
          <w:i/>
        </w:rPr>
        <w:t xml:space="preserve">(hosted by </w:t>
      </w:r>
      <w:proofErr w:type="spellStart"/>
      <w:r w:rsidRPr="00397850">
        <w:rPr>
          <w:i/>
        </w:rPr>
        <w:t>Stradley</w:t>
      </w:r>
      <w:proofErr w:type="spellEnd"/>
      <w:r w:rsidRPr="00397850">
        <w:rPr>
          <w:i/>
        </w:rPr>
        <w:t xml:space="preserve"> </w:t>
      </w:r>
      <w:proofErr w:type="spellStart"/>
      <w:r w:rsidRPr="00397850">
        <w:rPr>
          <w:i/>
        </w:rPr>
        <w:t>Ronon</w:t>
      </w:r>
      <w:proofErr w:type="spellEnd"/>
      <w:r w:rsidRPr="00397850">
        <w:rPr>
          <w:i/>
        </w:rPr>
        <w:t xml:space="preserve"> Stevens &amp; Young LLP</w:t>
      </w:r>
      <w:r>
        <w:rPr>
          <w:i/>
        </w:rPr>
        <w:t>)</w:t>
      </w:r>
    </w:p>
    <w:p w:rsidR="00976D4B" w:rsidRDefault="00976D4B" w:rsidP="00976D4B">
      <w:pPr>
        <w:pStyle w:val="PlainText"/>
        <w:jc w:val="center"/>
        <w:rPr>
          <w:b/>
          <w:i/>
          <w:sz w:val="22"/>
          <w:szCs w:val="22"/>
        </w:rPr>
      </w:pPr>
    </w:p>
    <w:p w:rsidR="00184AB4" w:rsidRDefault="00184AB4" w:rsidP="00976D4B">
      <w:pPr>
        <w:pStyle w:val="PlainText"/>
        <w:jc w:val="center"/>
        <w:rPr>
          <w:b/>
          <w:i/>
          <w:sz w:val="22"/>
          <w:szCs w:val="22"/>
        </w:rPr>
      </w:pPr>
    </w:p>
    <w:p w:rsidR="00976D4B" w:rsidRPr="00976D4B" w:rsidRDefault="00976D4B" w:rsidP="00976D4B">
      <w:pPr>
        <w:pStyle w:val="PlainText"/>
        <w:jc w:val="center"/>
        <w:rPr>
          <w:b/>
          <w:i/>
          <w:sz w:val="22"/>
          <w:szCs w:val="22"/>
        </w:rPr>
      </w:pPr>
      <w:r w:rsidRPr="00976D4B">
        <w:rPr>
          <w:b/>
          <w:i/>
          <w:sz w:val="22"/>
          <w:szCs w:val="22"/>
        </w:rPr>
        <w:t xml:space="preserve">Return the </w:t>
      </w:r>
      <w:r>
        <w:rPr>
          <w:b/>
          <w:i/>
          <w:sz w:val="22"/>
          <w:szCs w:val="22"/>
        </w:rPr>
        <w:t>enclos</w:t>
      </w:r>
      <w:r w:rsidR="00184AB4">
        <w:rPr>
          <w:b/>
          <w:i/>
          <w:sz w:val="22"/>
          <w:szCs w:val="22"/>
        </w:rPr>
        <w:t>ed response form to the PBA Meetings Department</w:t>
      </w:r>
      <w:r w:rsidRPr="00976D4B">
        <w:rPr>
          <w:b/>
          <w:i/>
          <w:sz w:val="22"/>
          <w:szCs w:val="22"/>
        </w:rPr>
        <w:t xml:space="preserve"> by February 22, 2013</w:t>
      </w:r>
    </w:p>
    <w:sectPr w:rsidR="00976D4B" w:rsidRPr="00976D4B" w:rsidSect="00976D4B">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altName w:val="Times New Roman"/>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B2"/>
    <w:rsid w:val="000667E0"/>
    <w:rsid w:val="00184AB4"/>
    <w:rsid w:val="002353B2"/>
    <w:rsid w:val="002678BD"/>
    <w:rsid w:val="00397850"/>
    <w:rsid w:val="005F3FD6"/>
    <w:rsid w:val="006E3437"/>
    <w:rsid w:val="00976D4B"/>
    <w:rsid w:val="00A875A4"/>
    <w:rsid w:val="00AB0B63"/>
    <w:rsid w:val="00DE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3B2"/>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B0B63"/>
    <w:rPr>
      <w:rFonts w:ascii="Palatino Linotype" w:hAnsi="Palatino Linotype" w:cs="Arial"/>
      <w:color w:val="000000"/>
      <w:sz w:val="24"/>
      <w:szCs w:val="24"/>
    </w:rPr>
  </w:style>
  <w:style w:type="character" w:customStyle="1" w:styleId="PlainTextChar">
    <w:name w:val="Plain Text Char"/>
    <w:basedOn w:val="DefaultParagraphFont"/>
    <w:link w:val="PlainText"/>
    <w:uiPriority w:val="99"/>
    <w:rsid w:val="00AB0B63"/>
    <w:rPr>
      <w:rFonts w:ascii="Palatino Linotype" w:eastAsiaTheme="minorHAnsi" w:hAnsi="Palatino Linotype" w:cs="Arial"/>
      <w:color w:val="000000"/>
      <w:sz w:val="24"/>
      <w:szCs w:val="24"/>
    </w:rPr>
  </w:style>
  <w:style w:type="paragraph" w:styleId="BalloonText">
    <w:name w:val="Balloon Text"/>
    <w:basedOn w:val="Normal"/>
    <w:link w:val="BalloonTextChar"/>
    <w:rsid w:val="00397850"/>
    <w:rPr>
      <w:rFonts w:ascii="Tahoma" w:hAnsi="Tahoma" w:cs="Tahoma"/>
      <w:sz w:val="16"/>
      <w:szCs w:val="16"/>
    </w:rPr>
  </w:style>
  <w:style w:type="character" w:customStyle="1" w:styleId="BalloonTextChar">
    <w:name w:val="Balloon Text Char"/>
    <w:basedOn w:val="DefaultParagraphFont"/>
    <w:link w:val="BalloonText"/>
    <w:rsid w:val="00397850"/>
    <w:rPr>
      <w:rFonts w:ascii="Tahoma" w:eastAsiaTheme="minorHAnsi" w:hAnsi="Tahoma" w:cs="Tahoma"/>
      <w:sz w:val="16"/>
      <w:szCs w:val="16"/>
    </w:rPr>
  </w:style>
  <w:style w:type="character" w:styleId="Hyperlink">
    <w:name w:val="Hyperlink"/>
    <w:basedOn w:val="DefaultParagraphFont"/>
    <w:rsid w:val="00976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3B2"/>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B0B63"/>
    <w:rPr>
      <w:rFonts w:ascii="Palatino Linotype" w:hAnsi="Palatino Linotype" w:cs="Arial"/>
      <w:color w:val="000000"/>
      <w:sz w:val="24"/>
      <w:szCs w:val="24"/>
    </w:rPr>
  </w:style>
  <w:style w:type="character" w:customStyle="1" w:styleId="PlainTextChar">
    <w:name w:val="Plain Text Char"/>
    <w:basedOn w:val="DefaultParagraphFont"/>
    <w:link w:val="PlainText"/>
    <w:uiPriority w:val="99"/>
    <w:rsid w:val="00AB0B63"/>
    <w:rPr>
      <w:rFonts w:ascii="Palatino Linotype" w:eastAsiaTheme="minorHAnsi" w:hAnsi="Palatino Linotype" w:cs="Arial"/>
      <w:color w:val="000000"/>
      <w:sz w:val="24"/>
      <w:szCs w:val="24"/>
    </w:rPr>
  </w:style>
  <w:style w:type="paragraph" w:styleId="BalloonText">
    <w:name w:val="Balloon Text"/>
    <w:basedOn w:val="Normal"/>
    <w:link w:val="BalloonTextChar"/>
    <w:rsid w:val="00397850"/>
    <w:rPr>
      <w:rFonts w:ascii="Tahoma" w:hAnsi="Tahoma" w:cs="Tahoma"/>
      <w:sz w:val="16"/>
      <w:szCs w:val="16"/>
    </w:rPr>
  </w:style>
  <w:style w:type="character" w:customStyle="1" w:styleId="BalloonTextChar">
    <w:name w:val="Balloon Text Char"/>
    <w:basedOn w:val="DefaultParagraphFont"/>
    <w:link w:val="BalloonText"/>
    <w:rsid w:val="00397850"/>
    <w:rPr>
      <w:rFonts w:ascii="Tahoma" w:eastAsiaTheme="minorHAnsi" w:hAnsi="Tahoma" w:cs="Tahoma"/>
      <w:sz w:val="16"/>
      <w:szCs w:val="16"/>
    </w:rPr>
  </w:style>
  <w:style w:type="character" w:styleId="Hyperlink">
    <w:name w:val="Hyperlink"/>
    <w:basedOn w:val="DefaultParagraphFont"/>
    <w:rsid w:val="00976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0962">
      <w:bodyDiv w:val="1"/>
      <w:marLeft w:val="0"/>
      <w:marRight w:val="0"/>
      <w:marTop w:val="0"/>
      <w:marBottom w:val="0"/>
      <w:divBdr>
        <w:top w:val="none" w:sz="0" w:space="0" w:color="auto"/>
        <w:left w:val="none" w:sz="0" w:space="0" w:color="auto"/>
        <w:bottom w:val="none" w:sz="0" w:space="0" w:color="auto"/>
        <w:right w:val="none" w:sz="0" w:space="0" w:color="auto"/>
      </w:divBdr>
    </w:div>
    <w:div w:id="394357275">
      <w:bodyDiv w:val="1"/>
      <w:marLeft w:val="0"/>
      <w:marRight w:val="0"/>
      <w:marTop w:val="0"/>
      <w:marBottom w:val="0"/>
      <w:divBdr>
        <w:top w:val="none" w:sz="0" w:space="0" w:color="auto"/>
        <w:left w:val="none" w:sz="0" w:space="0" w:color="auto"/>
        <w:bottom w:val="none" w:sz="0" w:space="0" w:color="auto"/>
        <w:right w:val="none" w:sz="0" w:space="0" w:color="auto"/>
      </w:divBdr>
    </w:div>
    <w:div w:id="1550995625">
      <w:bodyDiv w:val="1"/>
      <w:marLeft w:val="0"/>
      <w:marRight w:val="0"/>
      <w:marTop w:val="0"/>
      <w:marBottom w:val="0"/>
      <w:divBdr>
        <w:top w:val="none" w:sz="0" w:space="0" w:color="auto"/>
        <w:left w:val="none" w:sz="0" w:space="0" w:color="auto"/>
        <w:bottom w:val="none" w:sz="0" w:space="0" w:color="auto"/>
        <w:right w:val="none" w:sz="0" w:space="0" w:color="auto"/>
      </w:divBdr>
    </w:div>
    <w:div w:id="2004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7868</TotalTime>
  <Pages>1</Pages>
  <Words>243</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pabar</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 Bell</dc:creator>
  <cp:keywords/>
  <dc:description/>
  <cp:lastModifiedBy>Louann Bell</cp:lastModifiedBy>
  <cp:revision>5</cp:revision>
  <cp:lastPrinted>2013-02-06T15:53:00Z</cp:lastPrinted>
  <dcterms:created xsi:type="dcterms:W3CDTF">2013-02-01T17:00:00Z</dcterms:created>
  <dcterms:modified xsi:type="dcterms:W3CDTF">2013-02-08T14:59:00Z</dcterms:modified>
</cp:coreProperties>
</file>